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อำเภเดิมบางนางบวช จังหวัดสุพรรณบุรี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15:23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